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D0" w:rsidRDefault="00E30D8B">
      <w:pPr>
        <w:spacing w:after="0"/>
        <w:ind w:right="612"/>
        <w:jc w:val="center"/>
      </w:pPr>
      <w:bookmarkStart w:id="0" w:name="_GoBack"/>
      <w:bookmarkEnd w:id="0"/>
      <w:r>
        <w:rPr>
          <w:rFonts w:ascii="Cambria" w:eastAsia="Cambria" w:hAnsi="Cambria" w:cs="Cambria"/>
          <w:b/>
          <w:sz w:val="29"/>
        </w:rPr>
        <w:t>ADABIYOT</w:t>
      </w:r>
    </w:p>
    <w:p w:rsidR="00FC4DD0" w:rsidRDefault="00E30D8B">
      <w:pPr>
        <w:spacing w:after="158"/>
        <w:ind w:left="1976"/>
      </w:pPr>
      <w:r>
        <w:rPr>
          <w:rFonts w:ascii="Cambria" w:eastAsia="Cambria" w:hAnsi="Cambria" w:cs="Cambria"/>
          <w:b/>
          <w:sz w:val="29"/>
        </w:rPr>
        <w:t>(haftasiga 2 soatdan jami 68 soat)</w:t>
      </w:r>
    </w:p>
    <w:p w:rsidR="00FC4DD0" w:rsidRDefault="00E30D8B">
      <w:pPr>
        <w:spacing w:after="0"/>
        <w:ind w:right="603"/>
        <w:jc w:val="center"/>
      </w:pPr>
      <w:r>
        <w:rPr>
          <w:rFonts w:ascii="Cambria" w:eastAsia="Cambria" w:hAnsi="Cambria" w:cs="Cambria"/>
          <w:b/>
          <w:sz w:val="40"/>
        </w:rPr>
        <w:t>XI SINF</w:t>
      </w:r>
    </w:p>
    <w:tbl>
      <w:tblPr>
        <w:tblStyle w:val="TableGrid"/>
        <w:tblW w:w="10658" w:type="dxa"/>
        <w:tblInd w:w="-1124" w:type="dxa"/>
        <w:tblCellMar>
          <w:top w:w="21" w:type="dxa"/>
          <w:left w:w="37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1791"/>
        <w:gridCol w:w="6711"/>
        <w:gridCol w:w="903"/>
        <w:gridCol w:w="1253"/>
      </w:tblGrid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4"/>
              <w:jc w:val="center"/>
            </w:pPr>
            <w:r>
              <w:rPr>
                <w:rFonts w:ascii="Cambria" w:eastAsia="Cambria" w:hAnsi="Cambria" w:cs="Cambria"/>
                <w:b/>
              </w:rPr>
              <w:t>Soat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FC4DD0">
        <w:trPr>
          <w:trHeight w:val="32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FC4DD0"/>
        </w:tc>
        <w:tc>
          <w:tcPr>
            <w:tcW w:w="67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E30D8B">
            <w:pPr>
              <w:spacing w:after="0"/>
              <w:ind w:left="32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 CHORAK </w:t>
            </w:r>
          </w:p>
        </w:tc>
        <w:tc>
          <w:tcPr>
            <w:tcW w:w="90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FC4DD0"/>
        </w:tc>
        <w:tc>
          <w:tcPr>
            <w:tcW w:w="125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Kirish.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Adabiyot – ma’naviyatni yuksaltirish vositasi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7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2-3-dars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“Go‘ro‘g‘lining tug‘ilishi” dostoni “Go</w:t>
            </w:r>
            <w:r>
              <w:rPr>
                <w:rFonts w:ascii="Times New Roman" w:eastAsia="Times New Roman" w:hAnsi="Times New Roman" w:cs="Times New Roman"/>
                <w:b/>
              </w:rPr>
              <w:t>‘</w:t>
            </w:r>
            <w:r>
              <w:rPr>
                <w:rFonts w:ascii="Times New Roman" w:eastAsia="Times New Roman" w:hAnsi="Times New Roman" w:cs="Times New Roman"/>
              </w:rPr>
              <w:t>ro‘g‘lining tug‘ilishi” dostoni sujetining o</w:t>
            </w:r>
            <w:r>
              <w:rPr>
                <w:rFonts w:ascii="Times New Roman" w:eastAsia="Times New Roman" w:hAnsi="Times New Roman" w:cs="Times New Roman"/>
                <w:b/>
              </w:rPr>
              <w:t>‘</w:t>
            </w:r>
            <w:r>
              <w:rPr>
                <w:rFonts w:ascii="Times New Roman" w:eastAsia="Times New Roman" w:hAnsi="Times New Roman" w:cs="Times New Roman"/>
              </w:rPr>
              <w:t xml:space="preserve">ziga xosligi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Dostondagi asosiy qahramonlar tavsifi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Dostonning badiiy xususiyatlari. Dostonning badiiy-estetik hamda tarbiyaviy ahamiyati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113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6-dars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 w:line="27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Mahmud Qoshg‘ariy. “Devonu lug‘otit-turk”asari. Mahmud Qoshg‘ariyning hayoti va ijodi haqida qisqacha ma’lumot. Mahmud Qoshg‘ariy haqidagi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ma’lumotlarning “Devonu lug‘otit-turk”da aks etganligi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850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7-dars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“Devonu lug‘otit-turk” – </w:t>
            </w:r>
            <w:r>
              <w:rPr>
                <w:rFonts w:ascii="Times New Roman" w:eastAsia="Times New Roman" w:hAnsi="Times New Roman" w:cs="Times New Roman"/>
              </w:rPr>
              <w:t>izohli lug‘at va qomusiy asar sifatida. Unda badiiy durdonalarning o‘ziga xos tarzda ifoda etilgani, ularning yaratilishi, janri, mazmuni, badiiy xususiyatlari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8-dars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Mehnat va marosim qo‘shiqlari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7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“Alp Er To‘nga” marsiyasi. “Devon”-dagi maqollar xalq donoligining ifodasi sifatida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Yusuf Xos Hojib. “Qutadg‘u bilig” asari. Yusuf Xos Hojibning hayoti va ijodi. Yusuf Xos Hojib-didaktik dostonchilikning asoschisi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11-12-dars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Dostonning o‘ziga xos jihatlari. Undagi to‘rt timsol tavsifi. Asarning tarbyaviy ahamiyati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850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Nosiriddin Rabg‘uziy. “Qisasi Rabg‘uziy”asari. “Qisasi Rabg‘uziy”da avtobiografik ma’lumotlar. “Qisasi Rabg‘uziy” – </w:t>
            </w:r>
            <w:r>
              <w:rPr>
                <w:rFonts w:ascii="Times New Roman" w:eastAsia="Times New Roman" w:hAnsi="Times New Roman" w:cs="Times New Roman"/>
              </w:rPr>
              <w:t xml:space="preserve">o‘zbek nasrining ilk yirik yodgorligi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Asardagi qissa va hikoyatlar kompozitsiyasi “Uzum hikoyasi”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15-16-17-dars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 va tahlil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Test sinovi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349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FC4DD0"/>
        </w:tc>
        <w:tc>
          <w:tcPr>
            <w:tcW w:w="67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E30D8B">
            <w:pPr>
              <w:spacing w:after="0"/>
              <w:ind w:left="3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 CHORAK</w:t>
            </w:r>
          </w:p>
        </w:tc>
        <w:tc>
          <w:tcPr>
            <w:tcW w:w="90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FC4DD0"/>
        </w:tc>
        <w:tc>
          <w:tcPr>
            <w:tcW w:w="125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“Sulaymonning qarinchqa bila so‘zlashgani”, “Ilon va Qarlug‘och” hikoyati)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850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Alisher Navoiy. “Saddi Iskandariy” dostoni. Alisher Navoiyning hayoti va ijodi. Navoiyning epik asarlari. “Xamsa” – besh dostonni o‘z ichiga olgan asar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850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22-23-24-dars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</w:rPr>
              <w:t>“Saddi Iskandariy” dostonining ma’rifiy va adabiy ahamiyati. Dostonda yoshlik va qarilik haqidagi qarashlarining badiiy tahlili. Dostonning poetik xususiyatlari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850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25-26-dars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 w:line="302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Zahiriddin Muhammad Bobur lirikasi. “Jonimdin o‘zga yori vafodor topmadim”, “Yaxshilig‘”, “Sochining savdosi tushti...”, “Xazon yaprog‘i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yanglig‘ gul yuzung hajrida sorg‘ordim”, “Lola”, g‘azallari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Bobur she’riyatida badiiy san’atlar. Nazariy ma</w:t>
            </w:r>
            <w:r>
              <w:rPr>
                <w:rFonts w:ascii="Times New Roman" w:eastAsia="Times New Roman" w:hAnsi="Times New Roman" w:cs="Times New Roman"/>
              </w:rPr>
              <w:t>’lumot.Tajnis, talmeh va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tanosib she’riy san’atlari haqida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113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28-29-dars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24"/>
              <w:jc w:val="both"/>
            </w:pPr>
            <w:r>
              <w:rPr>
                <w:rFonts w:ascii="Times New Roman" w:eastAsia="Times New Roman" w:hAnsi="Times New Roman" w:cs="Times New Roman"/>
              </w:rPr>
              <w:t>Mashrab hayoti va ijodi. Mashrab lirikasi. Mashrab she’riyatidagi tasavvufiy ohanglar. “Ishqing o‘tig‘a kuygoni keldim”, “Bu tani xokingni-yu ruhi ravonni na qilay”, “O‘rtar” g‘azallari va “Dastingdan” musaddasi o‘zbek tasavvufiy she’riyatining yorqin namu</w:t>
            </w:r>
            <w:r>
              <w:rPr>
                <w:rFonts w:ascii="Times New Roman" w:eastAsia="Times New Roman" w:hAnsi="Times New Roman" w:cs="Times New Roman"/>
              </w:rPr>
              <w:t>nasi sifatida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>30-31-dars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Nazorat ishi. Insho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Test sinovi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71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FC4DD0"/>
        </w:tc>
        <w:tc>
          <w:tcPr>
            <w:tcW w:w="67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E30D8B">
            <w:pPr>
              <w:spacing w:after="0"/>
              <w:ind w:left="3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III CHORAK</w:t>
            </w:r>
          </w:p>
        </w:tc>
        <w:tc>
          <w:tcPr>
            <w:tcW w:w="90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FC4DD0" w:rsidRDefault="00FC4DD0"/>
        </w:tc>
        <w:tc>
          <w:tcPr>
            <w:tcW w:w="125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FC4DD0" w:rsidRDefault="00FC4DD0"/>
        </w:tc>
      </w:tr>
    </w:tbl>
    <w:p w:rsidR="00FC4DD0" w:rsidRDefault="00FC4DD0">
      <w:pPr>
        <w:spacing w:after="0"/>
        <w:ind w:left="-1440" w:right="10464"/>
      </w:pPr>
    </w:p>
    <w:tbl>
      <w:tblPr>
        <w:tblStyle w:val="TableGrid"/>
        <w:tblW w:w="10658" w:type="dxa"/>
        <w:tblInd w:w="-1124" w:type="dxa"/>
        <w:tblCellMar>
          <w:top w:w="18" w:type="dxa"/>
          <w:left w:w="3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1791"/>
        <w:gridCol w:w="6711"/>
        <w:gridCol w:w="903"/>
        <w:gridCol w:w="1253"/>
      </w:tblGrid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33-34-dars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tabs>
                <w:tab w:val="center" w:pos="270"/>
                <w:tab w:val="center" w:pos="935"/>
                <w:tab w:val="center" w:pos="1733"/>
                <w:tab w:val="center" w:pos="2680"/>
                <w:tab w:val="center" w:pos="3608"/>
                <w:tab w:val="center" w:pos="4742"/>
                <w:tab w:val="center" w:pos="6065"/>
              </w:tabs>
              <w:spacing w:after="7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>Anbar</w:t>
            </w:r>
            <w:r>
              <w:rPr>
                <w:rFonts w:ascii="Times New Roman" w:eastAsia="Times New Roman" w:hAnsi="Times New Roman" w:cs="Times New Roman"/>
              </w:rPr>
              <w:tab/>
              <w:t>Otin.</w:t>
            </w:r>
            <w:r>
              <w:rPr>
                <w:rFonts w:ascii="Times New Roman" w:eastAsia="Times New Roman" w:hAnsi="Times New Roman" w:cs="Times New Roman"/>
              </w:rPr>
              <w:tab/>
              <w:t>“Risolayi</w:t>
            </w:r>
            <w:r>
              <w:rPr>
                <w:rFonts w:ascii="Times New Roman" w:eastAsia="Times New Roman" w:hAnsi="Times New Roman" w:cs="Times New Roman"/>
              </w:rPr>
              <w:tab/>
              <w:t>falsafayi</w:t>
            </w:r>
            <w:r>
              <w:rPr>
                <w:rFonts w:ascii="Times New Roman" w:eastAsia="Times New Roman" w:hAnsi="Times New Roman" w:cs="Times New Roman"/>
              </w:rPr>
              <w:tab/>
              <w:t>siyohon”</w:t>
            </w:r>
            <w:r>
              <w:rPr>
                <w:rFonts w:ascii="Times New Roman" w:eastAsia="Times New Roman" w:hAnsi="Times New Roman" w:cs="Times New Roman"/>
              </w:rPr>
              <w:tab/>
              <w:t>asari(Qarolar</w:t>
            </w:r>
            <w:r>
              <w:rPr>
                <w:rFonts w:ascii="Times New Roman" w:eastAsia="Times New Roman" w:hAnsi="Times New Roman" w:cs="Times New Roman"/>
              </w:rPr>
              <w:tab/>
              <w:t>falsafasi)dan.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Shoiraning hayoti va ijodi. “Qarolar falsafasi”ning mazmuni va mohiyati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Abdurauf Fitrat. “Abulfayzxon” dramasi. Abdurauf Fitratning hayoti va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ijodiy faoliyati. “Abulfayzxon”– ilk o‘zbek realistik dramasi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36-37-38-dars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Dramadagi asosiy qahramonlar talqini. Asarning g‘oyaviy-badiiy xususiyatlari va ma’rifiy ahamiyati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39-40-41-dars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Nazorat ishi. Insho va tahlil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42-dars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Cho‘lpon. “Kecha va kunduz” romani. Shoir hayoti va ijodi. Cho‘lpon –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yetuk nosir. Uning “Kecha va kunduz” romani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43-44-45-dars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Badiiy asar tahlili (amaliy)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113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</w:rPr>
              <w:t>Erkin Vohidov. “Ruhlar isyoni” dostoni. Shoir hayoti va ijodi haqida ma’lumot. Uning she’riyatiga xos kechinmalar nozikligi va ifoda go‘zalligi, mumtoz she’riyatga xos ilg‘or an’analarning she’riyat an’analari bilan uyg‘unligi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47-48-dars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Erkin Vohidov – dostonnavis. “Ruhlar isyoni” dostoni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850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49-50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 w:line="30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Rauf Parfi she’riyati. Rauf Parfining hayoti va ijodi. Shoirning “Tong otmoqda”, “Yomg‘ir yog‘ar”, “Yoz kechasi”, “Yana qaytib keldim”,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“Yurak” she’rlari talqini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Nazorat ishi. Test sinovi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O‘tilganlar bo‘yicha takrorlash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62"/>
        </w:trPr>
        <w:tc>
          <w:tcPr>
            <w:tcW w:w="1065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FC4DD0" w:rsidRDefault="00E30D8B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IV  CHORAK</w:t>
            </w:r>
          </w:p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53-dars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Mustaqillik davri adabiyoti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141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54-55-dars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 w:line="283" w:lineRule="auto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</w:rPr>
              <w:t>Mustaqillik davri she’riyati. Jamol Kamol “Asr bilan vidolashuv”, Oydin Hojiyeva “Mustaqil Vatanni baxt nuri chaysin”, Usmon Azim “Grafika”, Xurshid Davron “Men ko’ksingga boshimni qo‘ydim”, Mahmud Toir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“Momo yer”, Sirojiddin Sayyid “Vatan”, Iqbol Mirzo”O‘</w:t>
            </w:r>
            <w:r>
              <w:rPr>
                <w:rFonts w:ascii="Times New Roman" w:eastAsia="Times New Roman" w:hAnsi="Times New Roman" w:cs="Times New Roman"/>
              </w:rPr>
              <w:t>zbek” she’rlari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56-57-58-dars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Mustaqillik davrida nasr. Muhammad Ali “Ulug‘ saltanat” epopeyasi. 4-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kitobidan “Sohibqiron o‘ylari”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59-60-dars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Mustaqillik davri dramaturgiyasi. Erkin A’zam “Tanho qayiq” dramatik rivoyat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61-62-dars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Nazorat ishi. Insho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566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>63-64-dars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A.P.Chexov. “Hikoyalar”. A.P.Chexov rus adabiyotining taniqli vakili.</w:t>
            </w:r>
          </w:p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Yozuvchining “Garov” hikoyasi talqini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850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65-66-67-dars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Rishod Nuri Guntekin. “Choliqushi” romani. Rishod Nuri Guntekinning hayoti va ijodi. “Choliqushi” romanida tasvirlangan muhit. Feride obraziga xos bo‘lgan insoniy fazilatlar. 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  <w:tr w:rsidR="00FC4DD0">
        <w:trPr>
          <w:trHeight w:val="283"/>
        </w:trPr>
        <w:tc>
          <w:tcPr>
            <w:tcW w:w="1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6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Test sinovi</w:t>
            </w:r>
          </w:p>
        </w:tc>
        <w:tc>
          <w:tcPr>
            <w:tcW w:w="9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E30D8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DD0" w:rsidRDefault="00FC4DD0"/>
        </w:tc>
      </w:tr>
    </w:tbl>
    <w:p w:rsidR="00E30D8B" w:rsidRDefault="00E30D8B"/>
    <w:sectPr w:rsidR="00E30D8B">
      <w:pgSz w:w="11904" w:h="16834"/>
      <w:pgMar w:top="578" w:right="1440" w:bottom="6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0"/>
    <w:rsid w:val="007A115C"/>
    <w:rsid w:val="00E30D8B"/>
    <w:rsid w:val="00F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470E7-9B1F-42BB-90C0-767338F7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2020-08-15T07:56:00Z</dcterms:created>
  <dcterms:modified xsi:type="dcterms:W3CDTF">2020-08-15T07:56:00Z</dcterms:modified>
</cp:coreProperties>
</file>