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Ali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aytdi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“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Aralashtirilgan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alifbo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usuli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tekis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usulidir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”,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Vali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aytdi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“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Aralashtirilgan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alifbo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usuli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notekis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usulidir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”.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Ularning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fikrlari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haqida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nima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deya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olasiz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2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Ikkalasi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noto‘g‘ri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2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Ikkalasi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2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Faqat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Ali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Faqat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Vali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/>
      <w:tr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anish/>
          <w:sz w:val="24"/>
          <w:szCs w:val="24"/>
          <w:lang w:val="en-US" w:eastAsia="ru-RU"/>
        </w:rPr>
      </w:pPr>
    </w:p>
    <w:tbl>
      <w:tblPr>
        <w:tblW w:w="9445" w:type="dxa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0"/>
        <w:gridCol w:w="4565"/>
        <w:gridCol w:w="90"/>
      </w:tblGrid>
      <w:tr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19. 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BIOS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kompyuterning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qaysi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xotirasida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joylashgan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bo‘ladi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vinchestrda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tezkor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operativ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xotira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qurilmasida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doimiy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xotira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qurilmasida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CD-ROM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18. 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Nuqtalar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o‘rniga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qo‘yilganda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quyidagi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mulohazani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mulohazaga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aylantiruvchi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javobni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aniqlang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. 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Informatika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termini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atamasi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negizida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…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so‘zlari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yotadi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.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information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avtomatique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informatio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texnology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computer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science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3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computer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texnology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17. 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Bir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sanoq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sistemasida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berilgan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sonni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boshqa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sanoq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sistemasidagi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ko`rinishini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aniqlang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553720" cy="237490"/>
                  <wp:effectExtent l="0" t="0" r="0" b="0"/>
                  <wp:docPr id="1039" name="Рисунок 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53720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536575" cy="237490"/>
                  <wp:effectExtent l="0" t="0" r="0" b="0"/>
                  <wp:docPr id="1041" name="Рисунок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36575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501015" cy="237490"/>
                  <wp:effectExtent l="0" t="0" r="0" b="0"/>
                  <wp:docPr id="1043" name="Рисунок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01015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553720" cy="237490"/>
                  <wp:effectExtent l="0" t="0" r="0" b="0"/>
                  <wp:docPr id="1045" name="Рисунок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53720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536575" cy="237490"/>
                  <wp:effectExtent l="0" t="0" r="0" b="0"/>
                  <wp:docPr id="1047" name="Рисунок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36575" cy="23749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16. 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Axborotni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ikkilikda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usulida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4096 ta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rangni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uchun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necha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bit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zarur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bo‘ladi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4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4096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15. 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Axborotni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ikkilikda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usulida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uchun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8 bit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olinsa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nechta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turli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belgini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kodlash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mumkin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256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16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128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14.  Ali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“1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gigabayt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1024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megabaytga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teng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”,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Vali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aytdi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“1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terabayt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1024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gigabaytga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teng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”.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Ularning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fikrlari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haqida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nima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deya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olasiz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Ikkalasi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noto‘g‘ri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Ikkalasi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Faqat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Ali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5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Faqat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Vali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fikr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aytgan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13.  Agar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492124" cy="175895"/>
                  <wp:effectExtent l="0" t="0" r="0" b="0"/>
                  <wp:docPr id="1060" name="Рисунок 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8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92124" cy="1758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466090" cy="175895"/>
                  <wp:effectExtent l="0" t="0" r="0" b="0"/>
                  <wp:docPr id="1061" name="Рисунок 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66090" cy="1758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bo‘lsa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ikkilik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sanoq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sistemasidagi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ifoda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qiymatini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aniqlang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. 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1380490" cy="210820"/>
                  <wp:effectExtent l="0" t="0" r="0" b="0"/>
                  <wp:docPr id="1062" name="Рисунок 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6"/>
                          <pic:cNvPicPr/>
                        </pic:nvPicPr>
                        <pic:blipFill>
                          <a:blip r:embed="rId1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80490" cy="21082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1110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11100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5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10100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6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1010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12. 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Informatika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termini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atamasi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)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qaysi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tildagi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so‘zlar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asosida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hosil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bo‘lgan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?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7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nemis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8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fransuz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69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lotin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7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ingliz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11. 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O‘nlik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sanoq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sistemasidagi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47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25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sonlarini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ikkilik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sanoq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sistemasida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tasvirlang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7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100111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11001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7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101111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11001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7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101111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1101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gridSpan w:val="3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074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10111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va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11001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/>
      <w:tr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vanish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5"/>
        <w:gridCol w:w="60"/>
      </w:tblGrid>
      <w:tr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4997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45"/>
              <w:gridCol w:w="57"/>
              <w:gridCol w:w="111"/>
              <w:gridCol w:w="6"/>
            </w:tblGrid>
            <w:tr>
              <w:trPr>
                <w:gridAfter w:val="3"/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10. 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Bir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sanoq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sistemasida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berilgan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sonni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boshqa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sanoq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sistemasidagi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ko`rinishini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aniqlang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: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553720" cy="237490"/>
                        <wp:effectExtent l="0" t="0" r="0" b="0"/>
                        <wp:docPr id="1075" name="Рисунок 1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13"/>
                                <pic:cNvPicPr/>
                              </pic:nvPicPr>
                              <pic:blipFill>
                                <a:blip r:embed="rId11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553720" cy="23749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/>
              <w:trPr>
                <w:gridAfter w:val="3"/>
                <w:tblCellSpacing w:w="15" w:type="dxa"/>
              </w:trPr>
              <w:tc>
                <w:tcPr>
                  <w:tcW w:w="0" w:type="auto"/>
                  <w:tcBorders/>
                  <w:shd w:val="clear" w:color="auto" w:fill="accde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76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606425" cy="237490"/>
                        <wp:effectExtent l="0" t="0" r="3175" b="0"/>
                        <wp:docPr id="1077" name="Рисунок 1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Рисунок 12"/>
                                <pic:cNvPicPr/>
                              </pic:nvPicPr>
                              <pic:blipFill>
                                <a:blip r:embed="rId1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606425" cy="23749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/>
              <w:trPr>
                <w:gridAfter w:val="3"/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78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624205" cy="237490"/>
                        <wp:effectExtent l="0" t="0" r="4445" b="0"/>
                        <wp:docPr id="1079" name="Рисунок 1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Рисунок 11"/>
                                <pic:cNvPicPr/>
                              </pic:nvPicPr>
                              <pic:blipFill>
                                <a:blip r:embed="rId1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624205" cy="23749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/>
              <w:trPr>
                <w:gridAfter w:val="3"/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80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624205" cy="237490"/>
                        <wp:effectExtent l="0" t="0" r="4445" b="0"/>
                        <wp:docPr id="1081" name="Рисунок 10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Рисунок 10"/>
                                <pic:cNvPicPr/>
                              </pic:nvPicPr>
                              <pic:blipFill>
                                <a:blip r:embed="rId1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624205" cy="23749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/>
              <w:trPr>
                <w:gridAfter w:val="3"/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82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598170" cy="237490"/>
                        <wp:effectExtent l="0" t="0" r="0" b="0"/>
                        <wp:docPr id="1083" name="Рисунок 9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Рисунок 9"/>
                                <pic:cNvPicPr/>
                              </pic:nvPicPr>
                              <pic:blipFill>
                                <a:blip r:embed="rId1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598170" cy="23749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/>
              <w:trPr>
                <w:gridAfter w:val="3"/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9. 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91 ta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turli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ismni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ikkilikda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kodlash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uchun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kamida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necha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bit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zarur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bo‘ladi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? </w:t>
                  </w:r>
                </w:p>
              </w:tc>
            </w:tr>
            <w:tr>
              <w:tblPrEx/>
              <w:trPr>
                <w:gridAfter w:val="3"/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84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4 </w:t>
                  </w:r>
                </w:p>
              </w:tc>
            </w:tr>
            <w:tr>
              <w:tblPrEx/>
              <w:trPr>
                <w:gridAfter w:val="3"/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85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8 </w:t>
                  </w:r>
                </w:p>
              </w:tc>
            </w:tr>
            <w:tr>
              <w:tblPrEx/>
              <w:trPr>
                <w:gridAfter w:val="3"/>
                <w:tblCellSpacing w:w="15" w:type="dxa"/>
              </w:trPr>
              <w:tc>
                <w:tcPr>
                  <w:tcW w:w="0" w:type="auto"/>
                  <w:tcBorders/>
                  <w:shd w:val="clear" w:color="auto" w:fill="accde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86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7 </w:t>
                  </w:r>
                </w:p>
              </w:tc>
            </w:tr>
            <w:tr>
              <w:tblPrEx/>
              <w:trPr>
                <w:gridAfter w:val="3"/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87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91 </w:t>
                  </w:r>
                </w:p>
              </w:tc>
            </w:tr>
            <w:tr>
              <w:tblPrEx/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8. 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Quyidagi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so‘zlar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axborot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bilan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bog‘liq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qaysi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tushunchaga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xos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? 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ishonchli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to‘liq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qimmatli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88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ko‘rinishi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89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turi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tcBorders/>
                  <w:shd w:val="clear" w:color="auto" w:fill="accde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90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xususiyatlari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91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hajmi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7. 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Axborot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hajmining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1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kilobayt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va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1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gigabayt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o‘lchov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birliklari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orasidagi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o‘lchov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birligini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aniqlang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</w:tr>
            <w:tr>
              <w:tblPrEx/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92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bayt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93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terabayt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tcBorders/>
                  <w:shd w:val="clear" w:color="auto" w:fill="accde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94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megabayt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gridAfter w:val="2"/>
                <w:tblCellSpacing w:w="15" w:type="dxa"/>
              </w:trPr>
              <w:tc>
                <w:tcPr>
                  <w:tcW w:w="0" w:type="auto"/>
                  <w:gridSpan w:val="2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95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petabayt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6. 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Ikkilik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sanoq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sistemasida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bajarilgan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amallardan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qaysi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biri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noto‘g‘ri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? </w:t>
                  </w:r>
                </w:p>
              </w:tc>
            </w:tr>
            <w:tr>
              <w:tblPrEx/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96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1001</w:t>
                  </w:r>
                  <w:r>
                    <w:rPr>
                      <w:rFonts w:ascii="Times New Roman" w:cs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114300" cy="140970"/>
                        <wp:effectExtent l="0" t="0" r="0" b="0"/>
                        <wp:docPr id="1097" name="Рисунок 16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Рисунок 16"/>
                                <pic:cNvPicPr/>
                              </pic:nvPicPr>
                              <pic:blipFill>
                                <a:blip r:embed="rId16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4300" cy="14097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11=11011 </w:t>
                  </w:r>
                </w:p>
              </w:tc>
            </w:tr>
            <w:tr>
              <w:tblPrEx/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/>
                  <w:shd w:val="clear" w:color="auto" w:fill="accde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98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101-11=11 </w:t>
                  </w:r>
                </w:p>
              </w:tc>
            </w:tr>
            <w:tr>
              <w:tblPrEx/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099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  <w:r>
                    <w:rPr>
                      <w:rFonts w:ascii="Times New Roman" w:cs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114300" cy="140970"/>
                        <wp:effectExtent l="0" t="0" r="0" b="0"/>
                        <wp:docPr id="1100" name="Рисунок 15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Рисунок 15"/>
                                <pic:cNvPicPr/>
                              </pic:nvPicPr>
                              <pic:blipFill>
                                <a:blip r:embed="rId16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4300" cy="14097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11=1001 </w:t>
                  </w:r>
                </w:p>
              </w:tc>
            </w:tr>
            <w:tr>
              <w:tblPrEx/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01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111010</w:t>
                  </w:r>
                  <w:r>
                    <w:rPr>
                      <w:rFonts w:ascii="Times New Roman" w:cs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114300" cy="140970"/>
                        <wp:effectExtent l="0" t="0" r="0" b="0"/>
                        <wp:docPr id="1102" name="Рисунок 14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Рисунок 14"/>
                                <pic:cNvPicPr/>
                              </pic:nvPicPr>
                              <pic:blipFill>
                                <a:blip r:embed="rId16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4300" cy="14097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10=1110100 </w:t>
                  </w:r>
                </w:p>
              </w:tc>
            </w:tr>
            <w:tr>
              <w:tblPrEx/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5. 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Ali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aytdi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“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Axborotni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ikkilikda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kodlash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usuli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tekis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kodlash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usulidir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”,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Vali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aytdi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“ASCII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kodlash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usuli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notekis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kodlash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usulidir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”.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Ularning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fikrlari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haqida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nima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deya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olasiz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? </w:t>
                  </w:r>
                </w:p>
              </w:tc>
            </w:tr>
            <w:tr>
              <w:tblPrEx/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03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Faqat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Vali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to‘g‘ri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fikr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aytgan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04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Faqat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Ali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to‘g‘ri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fikr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aytgan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05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Ikkalasi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to‘g‘ri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fikr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aytgan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3"/>
                  <w:tcBorders/>
                  <w:shd w:val="clear" w:color="auto" w:fill="accde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06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Ikkalasi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noto‘g‘ri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fikr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aytgan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W w:w="0" w:type="auto"/>
                  <w:gridSpan w:val="4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4.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Ssital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tayoqchasi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yordamida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kodlash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usuli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qanday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nomlanadi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? </w:t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W w:w="0" w:type="auto"/>
                  <w:gridSpan w:val="4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07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alifboni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surish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W w:w="0" w:type="auto"/>
                  <w:gridSpan w:val="4"/>
                  <w:tcBorders/>
                  <w:shd w:val="clear" w:color="auto" w:fill="accde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08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o‘rin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almashtirish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W w:w="0" w:type="auto"/>
                  <w:gridSpan w:val="4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09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Morze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usuli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W w:w="0" w:type="auto"/>
                  <w:gridSpan w:val="4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10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aralashtirilgan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alifbo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W w:w="0" w:type="auto"/>
                  <w:gridSpan w:val="4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3. 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Nuqtalar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o‘rniga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joylashtirish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mumkin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bo‘lgan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javobni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aniqlang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. 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Morze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kodlash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usulida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...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ishtirok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etgan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W w:w="0" w:type="auto"/>
                  <w:gridSpan w:val="4"/>
                  <w:tcBorders/>
                  <w:shd w:val="clear" w:color="auto" w:fill="accde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11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va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-- </w:t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W w:w="0" w:type="auto"/>
                  <w:gridSpan w:val="4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15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0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>va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1 </w:t>
                  </w: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25"/>
            </w:tblGrid>
            <w:tr>
              <w:trPr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2. 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Ali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aytdi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“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Morze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kodlash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usuli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tekis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kodlash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usulidir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”,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Vali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aytdi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“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Morze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kodlash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usuli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notekis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kodlash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>usulidir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val="en-US" w:eastAsia="ru-RU"/>
                    </w:rPr>
                    <w:t xml:space="preserve">”.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Ularning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fikrlari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haqida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nima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deya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olasiz</w:t>
                  </w:r>
                  <w:r>
                    <w:rPr>
                      <w:rFonts w:ascii="Times New Roman" w:cs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 xml:space="preserve">? </w:t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16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Ikkalasi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noto‘g‘ri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fikr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aytgan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17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Faqat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Ali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to‘g‘ri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fikr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aytgan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W w:w="0" w:type="auto"/>
                  <w:tcBorders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18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Ikkalasi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to‘g‘ri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fikr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aytgan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  <w:tr>
              <w:tblPrEx/>
              <w:trPr>
                <w:tblCellSpacing w:w="15" w:type="dxa"/>
              </w:trPr>
              <w:tc>
                <w:tcPr>
                  <w:tcW w:w="0" w:type="auto"/>
                  <w:tcBorders/>
                  <w:shd w:val="clear" w:color="auto" w:fill="accdef"/>
                  <w:vAlign w:val="center"/>
                  <w:hideMark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ru-RU"/>
                    </w:rPr>
                    <w:drawing>
                      <wp:inline distT="0" distR="0" distL="0" distB="0">
                        <wp:extent cx="255270" cy="228600"/>
                        <wp:effectExtent l="0" t="0" r="0" b="0"/>
                        <wp:docPr id="1119" name="_x0000_t75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_x0000_t75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55270" cy="2286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Faqat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Vali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to‘g‘ri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fikr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>aytgan</w:t>
                  </w: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>
      <w:pPr>
        <w:pStyle w:val="style0"/>
        <w:rPr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1. 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Axborot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hajmining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tanlab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olingan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ba’zi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o‘lchov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birliklari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o‘sish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tartibida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to‘g‘ri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yozilgan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javobni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aniqlang</w:t>
            </w:r>
            <w:r>
              <w:rPr>
                <w:rFonts w:ascii="Times New Roman" w:cs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 xml:space="preserve">.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20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megabayt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kilobayt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terabayt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shd w:val="clear" w:color="auto" w:fill="accdef"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21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megabayt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terabayt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22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megabayt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kilobayt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/>
        <w:trPr>
          <w:tblCellSpacing w:w="15" w:type="dxa"/>
        </w:trPr>
        <w:tc>
          <w:tcPr>
            <w:tcW w:w="0" w:type="auto"/>
            <w:tcBorders/>
            <w:vAlign w:val="center"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drawing>
                <wp:inline distT="0" distR="0" distL="0" distB="0">
                  <wp:extent cx="255270" cy="228600"/>
                  <wp:effectExtent l="0" t="0" r="0" b="0"/>
                  <wp:docPr id="1123" name="_x0000_t75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t7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5270" cy="228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kilobayt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petabayt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terabayt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bookmarkStart w:id="0" w:name="_GoBack"/>
          <w:bookmarkEnd w:id="0"/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10 ta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to’g’ri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>
      <w:pPr>
        <w:pStyle w:val="style0"/>
        <w:rPr>
          <w:lang w:val="en-US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E32040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8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Заголовок 1 Знак"/>
    <w:basedOn w:val="style65"/>
    <w:next w:val="style4098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type="character" w:customStyle="1" w:styleId="style4099">
    <w:name w:val="logo-mini"/>
    <w:basedOn w:val="style65"/>
    <w:next w:val="style40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0">
    <w:name w:val="logo-lg"/>
    <w:basedOn w:val="style65"/>
    <w:next w:val="style4100"/>
  </w:style>
  <w:style w:type="character" w:customStyle="1" w:styleId="style4101">
    <w:name w:val="sr-only"/>
    <w:basedOn w:val="style65"/>
    <w:next w:val="style4101"/>
  </w:style>
</w:styles>
</file>

<file path=word/_rels/document.xml.rels><?xml version="1.0" encoding="UTF-8"?>
<Relationships xmlns="http://schemas.openxmlformats.org/package/2006/relationships"><Relationship Id="rId18" Type="http://schemas.openxmlformats.org/officeDocument/2006/relationships/fontTable" Target="fontTable.xml"/><Relationship Id="rId5" Type="http://schemas.openxmlformats.org/officeDocument/2006/relationships/image" Target="media/image4.png"/><Relationship Id="rId12" Type="http://schemas.openxmlformats.org/officeDocument/2006/relationships/image" Target="media/image11.png"/><Relationship Id="rId16" Type="http://schemas.openxmlformats.org/officeDocument/2006/relationships/image" Target="media/image15.png"/><Relationship Id="rId20" Type="http://schemas.openxmlformats.org/officeDocument/2006/relationships/theme" Target="theme/theme1.xml"/><Relationship Id="rId15" Type="http://schemas.openxmlformats.org/officeDocument/2006/relationships/image" Target="media/image14.png"/><Relationship Id="rId11" Type="http://schemas.openxmlformats.org/officeDocument/2006/relationships/image" Target="media/image10.png"/><Relationship Id="rId7" Type="http://schemas.openxmlformats.org/officeDocument/2006/relationships/image" Target="media/image6.png"/><Relationship Id="rId14" Type="http://schemas.openxmlformats.org/officeDocument/2006/relationships/image" Target="media/image13.png"/><Relationship Id="rId2" Type="http://schemas.openxmlformats.org/officeDocument/2006/relationships/image" Target="media/image1.wmf"/><Relationship Id="rId10" Type="http://schemas.openxmlformats.org/officeDocument/2006/relationships/image" Target="media/image9.png"/><Relationship Id="rId19" Type="http://schemas.openxmlformats.org/officeDocument/2006/relationships/settings" Target="settings.xml"/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7" Type="http://schemas.openxmlformats.org/officeDocument/2006/relationships/styles" Target="styles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9" Type="http://schemas.openxmlformats.org/officeDocument/2006/relationships/image" Target="media/image8.png"/><Relationship Id="rId6" Type="http://schemas.openxmlformats.org/officeDocument/2006/relationships/image" Target="media/image5.png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454</Words>
  <Pages>6</Pages>
  <Characters>2816</Characters>
  <Application>WPS Office</Application>
  <DocSecurity>0</DocSecurity>
  <Paragraphs>219</Paragraphs>
  <ScaleCrop>false</ScaleCrop>
  <Company>Home</Company>
  <LinksUpToDate>false</LinksUpToDate>
  <CharactersWithSpaces>3299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2019-06-14T04:03:56Z</dcterms:created>
  <dc:creator>DIKKICHAM</dc:creator>
  <lastModifiedBy>SM-G532F</lastModifiedBy>
  <dcterms:modified xsi:type="dcterms:W3CDTF">2019-06-14T04:03:56Z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