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Ritani shafqatsizlarcha o'ldirib ketishgandan buyon Karter oyna yonida o'tiradi.</w:t>
      </w:r>
    </w:p>
    <w:p>
      <w:r>
        <w:rPr>
          <w:rFonts w:ascii="times New Roman" w:hAnsi="times New Roman" w:cs="times New Roman" w:eastAsia="times New Roman"/>
        </w:rPr>
        <w:t>Televizor ham, kitob o'qish-u xat yozish ham yo'q. Uning hayoti - parda ortida ko'ringan neki bo'lsa - o'sha.</w:t>
      </w:r>
    </w:p>
    <w:p>
      <w:r>
        <w:rPr>
          <w:rFonts w:ascii="times New Roman" w:hAnsi="times New Roman" w:cs="times New Roman" w:eastAsia="times New Roman"/>
        </w:rPr>
        <w:t>Unga baribir, ovqatni kim olib keladi, hisobni kim to'laydi... U xonani tark etmaydi.</w:t>
      </w:r>
    </w:p>
    <w:p>
      <w:r>
        <w:rPr>
          <w:rFonts w:ascii="times New Roman" w:hAnsi="times New Roman" w:cs="times New Roman" w:eastAsia="times New Roman"/>
        </w:rPr>
        <w:t>Uning hayoti - yugurayotgan jismoniy tarbiyachilar, yil fasllari almashuvi, g'izillab o'tayotgan avtomobillar, Ritaning ko'lankasi.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Namat bilan o'ralgan ushbu palatada oynalar yo'qligini Karter tushunmasdi.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